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09DAD063"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1711C9">
        <w:rPr>
          <w:rFonts w:ascii="Times New Roman" w:hAnsi="Times New Roman"/>
          <w:b/>
          <w:sz w:val="24"/>
          <w:szCs w:val="24"/>
        </w:rPr>
        <w:t>Приложение № 1.9</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1455EED5" w14:textId="77777777" w:rsidR="00FB64FA" w:rsidRPr="00FB64FA" w:rsidRDefault="00FB64FA" w:rsidP="00FB64FA">
      <w:pPr>
        <w:suppressAutoHyphens/>
        <w:spacing w:after="0"/>
        <w:jc w:val="right"/>
        <w:rPr>
          <w:rFonts w:ascii="Times New Roman" w:hAnsi="Times New Roman"/>
          <w:i/>
          <w:sz w:val="24"/>
          <w:szCs w:val="24"/>
        </w:rPr>
      </w:pPr>
      <w:r w:rsidRPr="00FB64FA">
        <w:rPr>
          <w:rFonts w:ascii="Times New Roman" w:hAnsi="Times New Roman"/>
          <w:i/>
          <w:sz w:val="24"/>
          <w:szCs w:val="24"/>
        </w:rPr>
        <w:t>13.02.11 «Техническая эксплуатация и обслуживание электрического и электромеханического оборудования (по отраслям)»</w:t>
      </w:r>
    </w:p>
    <w:p w14:paraId="3FB81827" w14:textId="77777777" w:rsidR="00FB64FA" w:rsidRDefault="00FB64FA" w:rsidP="00FB64FA">
      <w:pPr>
        <w:suppressAutoHyphens/>
        <w:spacing w:after="0"/>
        <w:jc w:val="center"/>
        <w:rPr>
          <w:rFonts w:ascii="Times New Roman" w:hAnsi="Times New Roman"/>
        </w:rPr>
      </w:pPr>
    </w:p>
    <w:p w14:paraId="5E4D03B2" w14:textId="77777777" w:rsidR="00D45A74" w:rsidRDefault="00D45A74" w:rsidP="00BC1684">
      <w:pPr>
        <w:suppressAutoHyphens/>
        <w:spacing w:after="0"/>
        <w:jc w:val="center"/>
        <w:rPr>
          <w:rFonts w:ascii="Times New Roman" w:hAnsi="Times New Roman"/>
          <w:sz w:val="24"/>
          <w:szCs w:val="24"/>
        </w:rPr>
      </w:pPr>
    </w:p>
    <w:p w14:paraId="2C5B5BF3" w14:textId="08090D39"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431DC6">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431DC6">
        <w:tc>
          <w:tcPr>
            <w:tcW w:w="5528" w:type="dxa"/>
            <w:hideMark/>
          </w:tcPr>
          <w:p w14:paraId="67FC0D27" w14:textId="0A08E0C8" w:rsidR="004F372A" w:rsidRPr="004F372A" w:rsidRDefault="001711C9"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4EF5DC58" w:rsidR="004F372A" w:rsidRPr="004F372A" w:rsidRDefault="00A814F8" w:rsidP="004F372A">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caps/>
          <w:sz w:val="24"/>
          <w:szCs w:val="24"/>
        </w:rPr>
        <w:t>ПД.01 РОДНАЯ 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7BA0FD18" w:rsidR="004F372A" w:rsidRPr="00FB64FA" w:rsidRDefault="004F372A" w:rsidP="00FB64FA">
      <w:pPr>
        <w:suppressAutoHyphens/>
        <w:spacing w:after="0"/>
        <w:jc w:val="center"/>
        <w:rPr>
          <w:rFonts w:ascii="Times New Roman" w:hAnsi="Times New Roman"/>
          <w:sz w:val="24"/>
          <w:szCs w:val="24"/>
        </w:rPr>
      </w:pPr>
      <w:r w:rsidRPr="00FB64FA">
        <w:rPr>
          <w:rFonts w:ascii="Times New Roman" w:hAnsi="Times New Roman"/>
          <w:sz w:val="24"/>
          <w:szCs w:val="24"/>
        </w:rPr>
        <w:t xml:space="preserve">Программа учебной дисциплины </w:t>
      </w:r>
      <w:r w:rsidR="00A814F8" w:rsidRPr="00FB64FA">
        <w:rPr>
          <w:rFonts w:ascii="Times New Roman" w:hAnsi="Times New Roman"/>
          <w:sz w:val="24"/>
          <w:szCs w:val="24"/>
        </w:rPr>
        <w:t>ПД.01 Родная</w:t>
      </w:r>
      <w:r w:rsidRPr="00FB64FA">
        <w:rPr>
          <w:rFonts w:ascii="Times New Roman" w:hAnsi="Times New Roman"/>
          <w:sz w:val="24"/>
          <w:szCs w:val="24"/>
        </w:rPr>
        <w:t xml:space="preserve"> </w:t>
      </w:r>
      <w:r w:rsidR="00A814F8" w:rsidRPr="00FB64FA">
        <w:rPr>
          <w:rFonts w:ascii="Times New Roman" w:hAnsi="Times New Roman"/>
          <w:sz w:val="24"/>
          <w:szCs w:val="24"/>
        </w:rPr>
        <w:t>л</w:t>
      </w:r>
      <w:r w:rsidR="00F50F63" w:rsidRPr="00FB64FA">
        <w:rPr>
          <w:rFonts w:ascii="Times New Roman" w:hAnsi="Times New Roman"/>
          <w:sz w:val="24"/>
          <w:szCs w:val="24"/>
        </w:rPr>
        <w:t xml:space="preserve">итература </w:t>
      </w:r>
      <w:r w:rsidRPr="00FB64FA">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FB64FA" w:rsidRPr="00FB64FA">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r w:rsidRPr="00FB64FA">
        <w:rPr>
          <w:rFonts w:ascii="Times New Roman" w:hAnsi="Times New Roman"/>
          <w:sz w:val="24"/>
          <w:szCs w:val="24"/>
        </w:rPr>
        <w:t xml:space="preserve">, </w:t>
      </w:r>
      <w:r w:rsidRPr="00FB64FA">
        <w:rPr>
          <w:rFonts w:ascii="Times New Roman" w:hAnsi="Times New Roman"/>
          <w:bCs/>
          <w:sz w:val="24"/>
          <w:szCs w:val="24"/>
        </w:rPr>
        <w:t>утверждённого приказом Министерства образования и</w:t>
      </w:r>
      <w:r w:rsidR="00FB64FA">
        <w:rPr>
          <w:rFonts w:ascii="Times New Roman" w:hAnsi="Times New Roman"/>
          <w:bCs/>
          <w:sz w:val="24"/>
          <w:szCs w:val="24"/>
        </w:rPr>
        <w:t xml:space="preserve"> науки Российской Федерации от </w:t>
      </w:r>
      <w:r w:rsidRPr="00FB64FA">
        <w:rPr>
          <w:rFonts w:ascii="Times New Roman" w:hAnsi="Times New Roman"/>
          <w:bCs/>
          <w:sz w:val="24"/>
          <w:szCs w:val="24"/>
        </w:rPr>
        <w:t xml:space="preserve"> 9 декабря 2016 г. № 1547 и </w:t>
      </w:r>
      <w:r w:rsidRPr="00FB64FA">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FB64FA">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FB6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166167A0" w:rsidR="004F372A" w:rsidRPr="004F372A" w:rsidRDefault="004F372A" w:rsidP="00FB6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 xml:space="preserve">Разработчик: преподаватель ГБПОУ МО «Воскресенский колледж» </w:t>
      </w:r>
      <w:r w:rsidR="00FB64FA">
        <w:rPr>
          <w:rFonts w:ascii="Times New Roman" w:hAnsi="Times New Roman"/>
          <w:sz w:val="24"/>
          <w:szCs w:val="28"/>
        </w:rPr>
        <w:t>Долгилевская О.Э.</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431DC6">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431DC6">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431DC6">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431DC6">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431DC6">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431DC6">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431DC6">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431DC6">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431DC6">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431DC6">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431DC6">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431DC6">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431DC6">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431DC6">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431DC6">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431DC6">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431DC6">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431DC6">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431DC6">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431DC6">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431DC6">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431DC6">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431DC6">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431DC6">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431DC6">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431DC6">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431DC6">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431DC6">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431DC6">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431DC6">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431DC6">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431DC6">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431DC6">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431DC6">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431DC6">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431DC6">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431DC6">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431DC6">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431DC6">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431DC6">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431DC6">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431DC6">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431DC6">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431DC6">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F372A" w:rsidRPr="004F372A" w14:paraId="618D597A" w14:textId="77777777" w:rsidTr="00431DC6">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431DC6">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2600B04A" w:rsidR="004F372A" w:rsidRPr="004F372A" w:rsidRDefault="001711C9" w:rsidP="004F372A">
            <w:pPr>
              <w:suppressAutoHyphens/>
              <w:spacing w:after="0"/>
              <w:rPr>
                <w:rFonts w:ascii="Times New Roman" w:hAnsi="Times New Roman"/>
                <w:iCs/>
              </w:rPr>
            </w:pPr>
            <w:r>
              <w:rPr>
                <w:rFonts w:ascii="Times New Roman" w:hAnsi="Times New Roman"/>
                <w:iCs/>
              </w:rPr>
              <w:t>72</w:t>
            </w:r>
          </w:p>
        </w:tc>
      </w:tr>
      <w:tr w:rsidR="004F372A" w:rsidRPr="004F372A" w14:paraId="09092330" w14:textId="77777777" w:rsidTr="00431DC6">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431DC6">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DE85517" w:rsidR="004F372A" w:rsidRPr="004F372A" w:rsidRDefault="001711C9" w:rsidP="004F372A">
            <w:pPr>
              <w:suppressAutoHyphens/>
              <w:spacing w:after="0"/>
              <w:rPr>
                <w:rFonts w:ascii="Times New Roman" w:hAnsi="Times New Roman"/>
                <w:iCs/>
              </w:rPr>
            </w:pPr>
            <w:r>
              <w:rPr>
                <w:rFonts w:ascii="Times New Roman" w:hAnsi="Times New Roman"/>
                <w:iCs/>
              </w:rPr>
              <w:t>36</w:t>
            </w:r>
          </w:p>
        </w:tc>
      </w:tr>
      <w:tr w:rsidR="004F372A" w:rsidRPr="004F372A" w14:paraId="718B4AA6" w14:textId="77777777" w:rsidTr="00431DC6">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11BB874F" w:rsidR="004F372A" w:rsidRPr="004F372A" w:rsidRDefault="00662082" w:rsidP="004F372A">
            <w:pPr>
              <w:suppressAutoHyphens/>
              <w:spacing w:after="0"/>
              <w:rPr>
                <w:rFonts w:ascii="Times New Roman" w:hAnsi="Times New Roman"/>
                <w:iCs/>
              </w:rPr>
            </w:pPr>
            <w:r>
              <w:rPr>
                <w:rFonts w:ascii="Times New Roman" w:hAnsi="Times New Roman"/>
                <w:iCs/>
              </w:rPr>
              <w:t>30</w:t>
            </w:r>
          </w:p>
        </w:tc>
      </w:tr>
      <w:tr w:rsidR="004F372A" w:rsidRPr="004F372A" w14:paraId="655EDAB1" w14:textId="77777777" w:rsidTr="00431DC6">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bookmarkStart w:id="2" w:name="_GoBack"/>
            <w:bookmarkEnd w:id="2"/>
            <w:r w:rsidRPr="004F372A">
              <w:rPr>
                <w:rFonts w:ascii="Times New Roman" w:hAnsi="Times New Roman"/>
              </w:rPr>
              <w:t xml:space="preserve">Самостоятельная работа </w:t>
            </w:r>
          </w:p>
        </w:tc>
        <w:tc>
          <w:tcPr>
            <w:tcW w:w="1315" w:type="pct"/>
            <w:vAlign w:val="center"/>
          </w:tcPr>
          <w:p w14:paraId="217D7785" w14:textId="270CFD46" w:rsidR="004F372A" w:rsidRPr="004F372A" w:rsidRDefault="001711C9" w:rsidP="004F372A">
            <w:pPr>
              <w:suppressAutoHyphens/>
              <w:spacing w:after="0"/>
              <w:rPr>
                <w:rFonts w:ascii="Times New Roman" w:hAnsi="Times New Roman"/>
                <w:iCs/>
              </w:rPr>
            </w:pPr>
            <w:r>
              <w:rPr>
                <w:rFonts w:ascii="Times New Roman" w:hAnsi="Times New Roman"/>
                <w:iCs/>
              </w:rPr>
              <w:t>4</w:t>
            </w:r>
          </w:p>
        </w:tc>
      </w:tr>
      <w:tr w:rsidR="004F372A" w:rsidRPr="004F372A" w14:paraId="107E5DE5" w14:textId="77777777" w:rsidTr="00431DC6">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723FAF79" w:rsidR="004F372A" w:rsidRPr="004F372A" w:rsidRDefault="00945777"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5E4A0C62"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D63117" w:rsidRPr="00D63117">
        <w:rPr>
          <w:rFonts w:ascii="Times New Roman" w:hAnsi="Times New Roman"/>
          <w:b/>
          <w:bCs/>
          <w:sz w:val="24"/>
          <w:szCs w:val="28"/>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402"/>
        <w:gridCol w:w="3428"/>
        <w:gridCol w:w="1899"/>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0A2EEB75" w:rsidR="00620259" w:rsidRPr="00620259" w:rsidRDefault="008040DF" w:rsidP="00493379">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431D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431DC6">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431D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53D0BEA7" w:rsidR="00493B8B" w:rsidRPr="00620259" w:rsidRDefault="001E7632" w:rsidP="00493379">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614"/>
        <w:gridCol w:w="2920"/>
        <w:gridCol w:w="2687"/>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64691C0E" w14:textId="77777777" w:rsidR="00431DC6" w:rsidRPr="00431DC6" w:rsidRDefault="00431DC6" w:rsidP="00431DC6">
            <w:pPr>
              <w:spacing w:after="0" w:line="240" w:lineRule="auto"/>
              <w:rPr>
                <w:rFonts w:ascii="Times New Roman" w:hAnsi="Times New Roman"/>
                <w:b/>
                <w:bCs/>
                <w:sz w:val="24"/>
                <w:szCs w:val="24"/>
              </w:rPr>
            </w:pPr>
            <w:r w:rsidRPr="00431DC6">
              <w:rPr>
                <w:rFonts w:ascii="Times New Roman" w:hAnsi="Times New Roman"/>
                <w:b/>
                <w:bCs/>
                <w:sz w:val="24"/>
                <w:szCs w:val="24"/>
              </w:rPr>
              <w:t>Тема 3.1.</w:t>
            </w:r>
          </w:p>
          <w:p w14:paraId="41BB7914" w14:textId="2F663CD3" w:rsidR="00A755CE" w:rsidRPr="004E6486" w:rsidRDefault="00431DC6" w:rsidP="00431DC6">
            <w:pPr>
              <w:spacing w:after="0" w:line="240" w:lineRule="auto"/>
              <w:rPr>
                <w:rFonts w:ascii="Times New Roman" w:hAnsi="Times New Roman"/>
                <w:b/>
                <w:bCs/>
                <w:sz w:val="24"/>
                <w:szCs w:val="24"/>
              </w:rPr>
            </w:pPr>
            <w:r w:rsidRPr="00431DC6">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DFE6414"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 xml:space="preserve">ЛР1,ЛР2,ЛР5,ЛР6,МР1, </w:t>
            </w:r>
            <w:r w:rsidRPr="00965CF3">
              <w:rPr>
                <w:rFonts w:ascii="Times New Roman" w:hAnsi="Times New Roman"/>
                <w:bCs/>
                <w:sz w:val="24"/>
                <w:szCs w:val="24"/>
              </w:rPr>
              <w:lastRenderedPageBreak/>
              <w:t>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137956">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F75950" w14:textId="1653C8A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 xml:space="preserve">ЛР1,ЛР2,ЛР5,ЛР6,МР1, </w:t>
            </w:r>
            <w:r w:rsidRPr="005A5F99">
              <w:rPr>
                <w:rFonts w:ascii="Times New Roman" w:hAnsi="Times New Roman"/>
                <w:bCs/>
                <w:iCs/>
                <w:sz w:val="24"/>
                <w:szCs w:val="24"/>
              </w:rPr>
              <w:lastRenderedPageBreak/>
              <w:t>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20245EC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047D3E6E" w:rsidR="005E0C3C" w:rsidRPr="003F0BAC" w:rsidRDefault="00493379" w:rsidP="005E0C3C">
            <w:pPr>
              <w:spacing w:after="0" w:line="240" w:lineRule="auto"/>
              <w:rPr>
                <w:rFonts w:ascii="Times New Roman" w:hAnsi="Times New Roman"/>
                <w:bCs/>
                <w:iCs/>
                <w:sz w:val="24"/>
                <w:szCs w:val="24"/>
              </w:rPr>
            </w:pPr>
            <w:r>
              <w:rPr>
                <w:rFonts w:ascii="Times New Roman" w:hAnsi="Times New Roman"/>
                <w:bCs/>
                <w:iCs/>
                <w:sz w:val="24"/>
                <w:szCs w:val="24"/>
              </w:rPr>
              <w:t>76</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31DC6">
        <w:tc>
          <w:tcPr>
            <w:tcW w:w="5071" w:type="dxa"/>
          </w:tcPr>
          <w:bookmarkEnd w:id="4"/>
          <w:bookmarkEnd w:id="5"/>
          <w:p w14:paraId="32E3A1A1"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31DC6">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31DC6">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31DC6">
        <w:tc>
          <w:tcPr>
            <w:tcW w:w="5071" w:type="dxa"/>
          </w:tcPr>
          <w:p w14:paraId="1E07B560" w14:textId="608F5926" w:rsidR="00575DE7" w:rsidRPr="005B7D19" w:rsidRDefault="00575DE7" w:rsidP="00431DC6">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431DC6">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431DC6">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431DC6">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31DC6">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31DC6">
        <w:tc>
          <w:tcPr>
            <w:tcW w:w="5071" w:type="dxa"/>
          </w:tcPr>
          <w:p w14:paraId="5F97E0C2" w14:textId="5205630F"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структурировать материал, подбирать </w:t>
            </w:r>
            <w:r w:rsidRPr="005B7D19">
              <w:rPr>
                <w:rFonts w:ascii="Times New Roman" w:hAnsi="Times New Roman"/>
                <w:sz w:val="24"/>
                <w:szCs w:val="24"/>
              </w:rPr>
              <w:lastRenderedPageBreak/>
              <w:t>аргументы</w:t>
            </w:r>
          </w:p>
          <w:p w14:paraId="032B17E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431DC6">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31DC6">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431DC6">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431DC6">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431DC6">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431DC6">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431DC6">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единстве эмоционального личностного </w:t>
            </w:r>
            <w:r w:rsidRPr="005B7D19">
              <w:rPr>
                <w:rFonts w:ascii="Times New Roman" w:hAnsi="Times New Roman"/>
                <w:sz w:val="24"/>
                <w:szCs w:val="24"/>
              </w:rPr>
              <w:lastRenderedPageBreak/>
              <w:t>восприятия</w:t>
            </w:r>
          </w:p>
          <w:p w14:paraId="3365D1CF" w14:textId="77777777" w:rsidR="00575DE7" w:rsidRDefault="00575DE7" w:rsidP="00431DC6">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431DC6">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31DC6">
            <w:pPr>
              <w:pStyle w:val="af0"/>
              <w:rPr>
                <w:rFonts w:ascii="Times New Roman" w:hAnsi="Times New Roman"/>
                <w:sz w:val="24"/>
                <w:szCs w:val="24"/>
              </w:rPr>
            </w:pPr>
          </w:p>
          <w:p w14:paraId="6BC3AB4E" w14:textId="77777777" w:rsidR="00575DE7" w:rsidRDefault="00575DE7" w:rsidP="00431DC6">
            <w:pPr>
              <w:pStyle w:val="af0"/>
              <w:rPr>
                <w:rFonts w:ascii="Times New Roman" w:hAnsi="Times New Roman"/>
                <w:sz w:val="24"/>
                <w:szCs w:val="24"/>
              </w:rPr>
            </w:pPr>
          </w:p>
          <w:p w14:paraId="4C8FC1FA" w14:textId="77777777" w:rsidR="00575DE7" w:rsidRDefault="00575DE7" w:rsidP="00431DC6">
            <w:pPr>
              <w:pStyle w:val="af0"/>
              <w:rPr>
                <w:rFonts w:ascii="Times New Roman" w:hAnsi="Times New Roman"/>
                <w:sz w:val="24"/>
                <w:szCs w:val="24"/>
              </w:rPr>
            </w:pPr>
          </w:p>
          <w:p w14:paraId="42116A5D" w14:textId="77777777" w:rsidR="00575DE7" w:rsidRDefault="00575DE7" w:rsidP="00431DC6">
            <w:pPr>
              <w:pStyle w:val="af0"/>
              <w:rPr>
                <w:rFonts w:ascii="Times New Roman" w:hAnsi="Times New Roman"/>
                <w:sz w:val="24"/>
                <w:szCs w:val="24"/>
              </w:rPr>
            </w:pPr>
          </w:p>
          <w:p w14:paraId="312A43C2" w14:textId="77777777" w:rsidR="00575DE7" w:rsidRDefault="00575DE7" w:rsidP="00431DC6">
            <w:pPr>
              <w:pStyle w:val="af0"/>
              <w:rPr>
                <w:rFonts w:ascii="Times New Roman" w:hAnsi="Times New Roman"/>
                <w:sz w:val="24"/>
                <w:szCs w:val="24"/>
              </w:rPr>
            </w:pPr>
          </w:p>
          <w:p w14:paraId="3D763860" w14:textId="77777777" w:rsidR="00575DE7" w:rsidRDefault="00575DE7" w:rsidP="00431DC6">
            <w:pPr>
              <w:pStyle w:val="af0"/>
              <w:rPr>
                <w:rFonts w:ascii="Times New Roman" w:hAnsi="Times New Roman"/>
                <w:sz w:val="24"/>
                <w:szCs w:val="24"/>
              </w:rPr>
            </w:pPr>
          </w:p>
          <w:p w14:paraId="7B5D9EFA" w14:textId="77777777" w:rsidR="00575DE7" w:rsidRDefault="00575DE7" w:rsidP="00431DC6">
            <w:pPr>
              <w:pStyle w:val="af0"/>
              <w:rPr>
                <w:rFonts w:ascii="Times New Roman" w:hAnsi="Times New Roman"/>
                <w:sz w:val="24"/>
                <w:szCs w:val="24"/>
              </w:rPr>
            </w:pPr>
          </w:p>
          <w:p w14:paraId="51A8D06F" w14:textId="77777777" w:rsidR="00575DE7" w:rsidRDefault="00575DE7" w:rsidP="00431DC6">
            <w:pPr>
              <w:pStyle w:val="af0"/>
              <w:rPr>
                <w:rFonts w:ascii="Times New Roman" w:hAnsi="Times New Roman"/>
                <w:sz w:val="24"/>
                <w:szCs w:val="24"/>
              </w:rPr>
            </w:pPr>
          </w:p>
          <w:p w14:paraId="545116A7" w14:textId="77777777" w:rsidR="00575DE7" w:rsidRDefault="00575DE7" w:rsidP="00431DC6">
            <w:pPr>
              <w:pStyle w:val="af0"/>
              <w:rPr>
                <w:rFonts w:ascii="Times New Roman" w:hAnsi="Times New Roman"/>
                <w:sz w:val="24"/>
                <w:szCs w:val="24"/>
              </w:rPr>
            </w:pPr>
          </w:p>
          <w:p w14:paraId="45DEE6D3" w14:textId="77777777" w:rsidR="00575DE7" w:rsidRDefault="00575DE7" w:rsidP="00431DC6">
            <w:pPr>
              <w:pStyle w:val="af0"/>
              <w:rPr>
                <w:rFonts w:ascii="Times New Roman" w:hAnsi="Times New Roman"/>
                <w:sz w:val="24"/>
                <w:szCs w:val="24"/>
              </w:rPr>
            </w:pPr>
          </w:p>
          <w:p w14:paraId="134A048C" w14:textId="77777777" w:rsidR="00575DE7" w:rsidRDefault="00575DE7" w:rsidP="00431DC6">
            <w:pPr>
              <w:pStyle w:val="af0"/>
              <w:rPr>
                <w:rFonts w:ascii="Times New Roman" w:hAnsi="Times New Roman"/>
                <w:sz w:val="24"/>
                <w:szCs w:val="24"/>
              </w:rPr>
            </w:pPr>
          </w:p>
          <w:p w14:paraId="199D24CF" w14:textId="77777777" w:rsidR="00575DE7" w:rsidRDefault="00575DE7" w:rsidP="00431DC6">
            <w:pPr>
              <w:pStyle w:val="af0"/>
              <w:rPr>
                <w:rFonts w:ascii="Times New Roman" w:hAnsi="Times New Roman"/>
                <w:sz w:val="24"/>
                <w:szCs w:val="24"/>
              </w:rPr>
            </w:pPr>
          </w:p>
          <w:p w14:paraId="3C99EAA6" w14:textId="77777777" w:rsidR="00575DE7" w:rsidRDefault="00575DE7" w:rsidP="00431DC6">
            <w:pPr>
              <w:pStyle w:val="af0"/>
              <w:rPr>
                <w:rFonts w:ascii="Times New Roman" w:hAnsi="Times New Roman"/>
                <w:sz w:val="24"/>
                <w:szCs w:val="24"/>
              </w:rPr>
            </w:pPr>
          </w:p>
          <w:p w14:paraId="77CBA6C9" w14:textId="77777777" w:rsidR="00575DE7" w:rsidRDefault="00575DE7" w:rsidP="00431DC6">
            <w:pPr>
              <w:pStyle w:val="af0"/>
              <w:rPr>
                <w:rFonts w:ascii="Times New Roman" w:hAnsi="Times New Roman"/>
                <w:sz w:val="24"/>
                <w:szCs w:val="24"/>
              </w:rPr>
            </w:pPr>
          </w:p>
          <w:p w14:paraId="5ACA6DF8" w14:textId="77777777" w:rsidR="00575DE7" w:rsidRDefault="00575DE7" w:rsidP="00431DC6">
            <w:pPr>
              <w:pStyle w:val="af0"/>
              <w:rPr>
                <w:rFonts w:ascii="Times New Roman" w:hAnsi="Times New Roman"/>
                <w:sz w:val="24"/>
                <w:szCs w:val="24"/>
              </w:rPr>
            </w:pPr>
          </w:p>
          <w:p w14:paraId="22E9B42A" w14:textId="77777777" w:rsidR="00575DE7" w:rsidRDefault="00575DE7" w:rsidP="00431DC6">
            <w:pPr>
              <w:pStyle w:val="af0"/>
              <w:rPr>
                <w:rFonts w:ascii="Times New Roman" w:hAnsi="Times New Roman"/>
                <w:sz w:val="24"/>
                <w:szCs w:val="24"/>
              </w:rPr>
            </w:pPr>
          </w:p>
          <w:p w14:paraId="7AB16667" w14:textId="77777777" w:rsidR="00575DE7" w:rsidRDefault="00575DE7" w:rsidP="00431DC6">
            <w:pPr>
              <w:pStyle w:val="af0"/>
              <w:rPr>
                <w:rFonts w:ascii="Times New Roman" w:hAnsi="Times New Roman"/>
                <w:sz w:val="24"/>
                <w:szCs w:val="24"/>
              </w:rPr>
            </w:pPr>
          </w:p>
          <w:p w14:paraId="02B271A3" w14:textId="77777777" w:rsidR="00575DE7" w:rsidRDefault="00575DE7" w:rsidP="00431DC6">
            <w:pPr>
              <w:pStyle w:val="af0"/>
              <w:rPr>
                <w:rFonts w:ascii="Times New Roman" w:hAnsi="Times New Roman"/>
                <w:sz w:val="24"/>
                <w:szCs w:val="24"/>
              </w:rPr>
            </w:pPr>
          </w:p>
          <w:p w14:paraId="12BE2334" w14:textId="77777777" w:rsidR="00575DE7" w:rsidRDefault="00575DE7" w:rsidP="00431DC6">
            <w:pPr>
              <w:pStyle w:val="af0"/>
              <w:rPr>
                <w:rFonts w:ascii="Times New Roman" w:hAnsi="Times New Roman"/>
                <w:sz w:val="24"/>
                <w:szCs w:val="24"/>
              </w:rPr>
            </w:pPr>
          </w:p>
          <w:p w14:paraId="23594315" w14:textId="77777777" w:rsidR="00575DE7" w:rsidRDefault="00575DE7" w:rsidP="00431DC6">
            <w:pPr>
              <w:pStyle w:val="af0"/>
              <w:rPr>
                <w:rFonts w:ascii="Times New Roman" w:hAnsi="Times New Roman"/>
                <w:sz w:val="24"/>
                <w:szCs w:val="24"/>
              </w:rPr>
            </w:pPr>
          </w:p>
          <w:p w14:paraId="326F4828" w14:textId="77777777" w:rsidR="00575DE7" w:rsidRDefault="00575DE7" w:rsidP="00431DC6">
            <w:pPr>
              <w:pStyle w:val="af0"/>
              <w:rPr>
                <w:rFonts w:ascii="Times New Roman" w:hAnsi="Times New Roman"/>
                <w:sz w:val="24"/>
                <w:szCs w:val="24"/>
              </w:rPr>
            </w:pPr>
          </w:p>
          <w:p w14:paraId="723003F7" w14:textId="77777777" w:rsidR="00575DE7" w:rsidRDefault="00575DE7" w:rsidP="00431DC6">
            <w:pPr>
              <w:pStyle w:val="af0"/>
              <w:rPr>
                <w:rFonts w:ascii="Times New Roman" w:hAnsi="Times New Roman"/>
                <w:sz w:val="24"/>
                <w:szCs w:val="24"/>
              </w:rPr>
            </w:pPr>
          </w:p>
          <w:p w14:paraId="371507FA" w14:textId="77777777" w:rsidR="00575DE7" w:rsidRDefault="00575DE7" w:rsidP="00431DC6">
            <w:pPr>
              <w:pStyle w:val="af0"/>
              <w:rPr>
                <w:rFonts w:ascii="Times New Roman" w:hAnsi="Times New Roman"/>
                <w:sz w:val="24"/>
                <w:szCs w:val="24"/>
              </w:rPr>
            </w:pPr>
          </w:p>
          <w:p w14:paraId="3CDFD55E" w14:textId="77777777" w:rsidR="00575DE7" w:rsidRDefault="00575DE7" w:rsidP="00431DC6">
            <w:pPr>
              <w:pStyle w:val="af0"/>
              <w:rPr>
                <w:rFonts w:ascii="Times New Roman" w:hAnsi="Times New Roman"/>
                <w:sz w:val="24"/>
                <w:szCs w:val="24"/>
              </w:rPr>
            </w:pPr>
          </w:p>
          <w:p w14:paraId="72093EED" w14:textId="77777777" w:rsidR="00575DE7" w:rsidRDefault="00575DE7" w:rsidP="00431DC6">
            <w:pPr>
              <w:pStyle w:val="af0"/>
              <w:rPr>
                <w:rFonts w:ascii="Times New Roman" w:hAnsi="Times New Roman"/>
                <w:sz w:val="24"/>
                <w:szCs w:val="24"/>
              </w:rPr>
            </w:pPr>
          </w:p>
          <w:p w14:paraId="67C00ABF" w14:textId="77777777" w:rsidR="00575DE7" w:rsidRDefault="00575DE7" w:rsidP="00431DC6">
            <w:pPr>
              <w:pStyle w:val="af0"/>
              <w:rPr>
                <w:rFonts w:ascii="Times New Roman" w:hAnsi="Times New Roman"/>
                <w:sz w:val="24"/>
                <w:szCs w:val="24"/>
              </w:rPr>
            </w:pPr>
          </w:p>
          <w:p w14:paraId="4D693CF1" w14:textId="77777777" w:rsidR="00575DE7" w:rsidRDefault="00575DE7" w:rsidP="00431DC6">
            <w:pPr>
              <w:pStyle w:val="af0"/>
              <w:rPr>
                <w:rFonts w:ascii="Times New Roman" w:hAnsi="Times New Roman"/>
                <w:sz w:val="24"/>
                <w:szCs w:val="24"/>
              </w:rPr>
            </w:pPr>
          </w:p>
          <w:p w14:paraId="5953D78B" w14:textId="77777777" w:rsidR="00575DE7" w:rsidRDefault="00575DE7" w:rsidP="00431DC6">
            <w:pPr>
              <w:pStyle w:val="af0"/>
              <w:rPr>
                <w:rFonts w:ascii="Times New Roman" w:hAnsi="Times New Roman"/>
                <w:sz w:val="24"/>
                <w:szCs w:val="24"/>
              </w:rPr>
            </w:pPr>
          </w:p>
          <w:p w14:paraId="0080E237"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FE9D" w14:textId="77777777" w:rsidR="00D5522C" w:rsidRDefault="00D5522C" w:rsidP="00BE4636">
      <w:pPr>
        <w:spacing w:after="0" w:line="240" w:lineRule="auto"/>
      </w:pPr>
      <w:r>
        <w:separator/>
      </w:r>
    </w:p>
  </w:endnote>
  <w:endnote w:type="continuationSeparator" w:id="0">
    <w:p w14:paraId="59224853" w14:textId="77777777" w:rsidR="00D5522C" w:rsidRDefault="00D5522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FB64FA" w:rsidRDefault="00FB64FA"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FB64FA" w:rsidRDefault="00FB64FA"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24976F4F" w:rsidR="00FB64FA" w:rsidRDefault="00FB64FA">
    <w:pPr>
      <w:pStyle w:val="a9"/>
      <w:jc w:val="right"/>
    </w:pPr>
    <w:r>
      <w:fldChar w:fldCharType="begin"/>
    </w:r>
    <w:r>
      <w:instrText>PAGE   \* MERGEFORMAT</w:instrText>
    </w:r>
    <w:r>
      <w:fldChar w:fldCharType="separate"/>
    </w:r>
    <w:r w:rsidR="001711C9">
      <w:rPr>
        <w:noProof/>
      </w:rPr>
      <w:t>3</w:t>
    </w:r>
    <w:r>
      <w:fldChar w:fldCharType="end"/>
    </w:r>
  </w:p>
  <w:p w14:paraId="0F2C5CBC" w14:textId="77777777" w:rsidR="00FB64FA" w:rsidRDefault="00FB64FA"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FB64FA" w:rsidRDefault="00FB64FA"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FB64FA" w:rsidRDefault="00FB64FA">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FB64FA" w:rsidRDefault="00FB64FA" w:rsidP="005E034F">
    <w:pPr>
      <w:pStyle w:val="a9"/>
      <w:framePr w:wrap="around" w:vAnchor="text" w:hAnchor="margin" w:xAlign="center" w:y="1"/>
      <w:rPr>
        <w:rStyle w:val="ab"/>
      </w:rPr>
    </w:pPr>
  </w:p>
  <w:p w14:paraId="4C765231" w14:textId="77777777" w:rsidR="00FB64FA" w:rsidRDefault="00FB64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3E15" w14:textId="77777777" w:rsidR="00D5522C" w:rsidRDefault="00D5522C" w:rsidP="00BE4636">
      <w:pPr>
        <w:spacing w:after="0" w:line="240" w:lineRule="auto"/>
      </w:pPr>
      <w:r>
        <w:separator/>
      </w:r>
    </w:p>
  </w:footnote>
  <w:footnote w:type="continuationSeparator" w:id="0">
    <w:p w14:paraId="5C7A2DC9" w14:textId="77777777" w:rsidR="00D5522C" w:rsidRDefault="00D5522C"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11C9"/>
    <w:rsid w:val="0017617C"/>
    <w:rsid w:val="00180BCD"/>
    <w:rsid w:val="00187635"/>
    <w:rsid w:val="001B361E"/>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90E5A"/>
    <w:rsid w:val="003B241D"/>
    <w:rsid w:val="003C6576"/>
    <w:rsid w:val="003D2D8B"/>
    <w:rsid w:val="003E2576"/>
    <w:rsid w:val="003E5CF5"/>
    <w:rsid w:val="003F0885"/>
    <w:rsid w:val="003F0BAC"/>
    <w:rsid w:val="003F5D69"/>
    <w:rsid w:val="00407BBC"/>
    <w:rsid w:val="004159B3"/>
    <w:rsid w:val="00431DC6"/>
    <w:rsid w:val="0044030F"/>
    <w:rsid w:val="00440D41"/>
    <w:rsid w:val="00442108"/>
    <w:rsid w:val="0046636D"/>
    <w:rsid w:val="00472C96"/>
    <w:rsid w:val="00473CA6"/>
    <w:rsid w:val="00493379"/>
    <w:rsid w:val="00493B8B"/>
    <w:rsid w:val="00494F18"/>
    <w:rsid w:val="004A4C31"/>
    <w:rsid w:val="004A4E78"/>
    <w:rsid w:val="004B2F56"/>
    <w:rsid w:val="004B315E"/>
    <w:rsid w:val="004D6AAE"/>
    <w:rsid w:val="004E6486"/>
    <w:rsid w:val="004F0F5F"/>
    <w:rsid w:val="004F347C"/>
    <w:rsid w:val="004F372A"/>
    <w:rsid w:val="00506A20"/>
    <w:rsid w:val="005072CC"/>
    <w:rsid w:val="00515C39"/>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45777"/>
    <w:rsid w:val="0096135A"/>
    <w:rsid w:val="00963535"/>
    <w:rsid w:val="00965CF3"/>
    <w:rsid w:val="00967B75"/>
    <w:rsid w:val="00977392"/>
    <w:rsid w:val="009A560C"/>
    <w:rsid w:val="009B2B71"/>
    <w:rsid w:val="009C1A33"/>
    <w:rsid w:val="009D6582"/>
    <w:rsid w:val="009D7612"/>
    <w:rsid w:val="009D790C"/>
    <w:rsid w:val="009E74B7"/>
    <w:rsid w:val="00A2353C"/>
    <w:rsid w:val="00A33C5C"/>
    <w:rsid w:val="00A368A0"/>
    <w:rsid w:val="00A755CE"/>
    <w:rsid w:val="00A80C3E"/>
    <w:rsid w:val="00A810A7"/>
    <w:rsid w:val="00A814F8"/>
    <w:rsid w:val="00A818BD"/>
    <w:rsid w:val="00A82722"/>
    <w:rsid w:val="00A834FC"/>
    <w:rsid w:val="00AA1C7C"/>
    <w:rsid w:val="00AB6BE9"/>
    <w:rsid w:val="00AD288A"/>
    <w:rsid w:val="00B03DF7"/>
    <w:rsid w:val="00B12DC6"/>
    <w:rsid w:val="00B3653F"/>
    <w:rsid w:val="00B45FD2"/>
    <w:rsid w:val="00B526F3"/>
    <w:rsid w:val="00B74E62"/>
    <w:rsid w:val="00B9110D"/>
    <w:rsid w:val="00B94627"/>
    <w:rsid w:val="00B9567F"/>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CF0BBE"/>
    <w:rsid w:val="00D0359B"/>
    <w:rsid w:val="00D44279"/>
    <w:rsid w:val="00D45A74"/>
    <w:rsid w:val="00D45C57"/>
    <w:rsid w:val="00D46E2D"/>
    <w:rsid w:val="00D5522C"/>
    <w:rsid w:val="00D63117"/>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3D0F"/>
    <w:rsid w:val="00F37626"/>
    <w:rsid w:val="00F50F63"/>
    <w:rsid w:val="00F57C23"/>
    <w:rsid w:val="00F64DC7"/>
    <w:rsid w:val="00F7126B"/>
    <w:rsid w:val="00F7330E"/>
    <w:rsid w:val="00F7416B"/>
    <w:rsid w:val="00F7795E"/>
    <w:rsid w:val="00F811AC"/>
    <w:rsid w:val="00F85CA2"/>
    <w:rsid w:val="00F901A3"/>
    <w:rsid w:val="00FB0930"/>
    <w:rsid w:val="00FB64FA"/>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CC3204C-84C6-4E7A-BCB5-B761B01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175E-CC76-4DF6-9FBC-98FE8153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virus.metodist@bk.ru</cp:lastModifiedBy>
  <cp:revision>8</cp:revision>
  <cp:lastPrinted>2021-09-10T08:50:00Z</cp:lastPrinted>
  <dcterms:created xsi:type="dcterms:W3CDTF">2022-06-19T14:41:00Z</dcterms:created>
  <dcterms:modified xsi:type="dcterms:W3CDTF">2023-11-20T08:56:00Z</dcterms:modified>
</cp:coreProperties>
</file>